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F581" w14:textId="77777777" w:rsidR="00FD60BB" w:rsidRDefault="009A4F7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SCENARIO FOR EDUCATIONAL CLASSES</w:t>
      </w:r>
    </w:p>
    <w:p w14:paraId="683355D5" w14:textId="16B348BA" w:rsidR="00CB3DA8" w:rsidRPr="00DB5291" w:rsidRDefault="00CB3DA8">
      <w:pPr>
        <w:jc w:val="center"/>
        <w:rPr>
          <w:b/>
          <w:sz w:val="28"/>
          <w:szCs w:val="28"/>
        </w:rPr>
      </w:pPr>
      <w:r w:rsidRPr="00DB5291">
        <w:rPr>
          <w:b/>
          <w:sz w:val="28"/>
          <w:szCs w:val="28"/>
        </w:rPr>
        <w:t xml:space="preserve">Gender Equality and the protection of of women </w:t>
      </w:r>
      <w:r w:rsidR="002202AE" w:rsidRPr="00DB5291">
        <w:rPr>
          <w:b/>
          <w:sz w:val="28"/>
          <w:szCs w:val="28"/>
        </w:rPr>
        <w:t>in the European Union</w:t>
      </w:r>
    </w:p>
    <w:p w14:paraId="78922BF4" w14:textId="77777777" w:rsidR="00FD60BB" w:rsidRDefault="009A4F71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PART 1. OF SCENARIO</w:t>
      </w:r>
    </w:p>
    <w:tbl>
      <w:tblPr>
        <w:tblStyle w:val="3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7225"/>
      </w:tblGrid>
      <w:tr w:rsidR="00FD60BB" w14:paraId="02C11FFB" w14:textId="77777777">
        <w:tc>
          <w:tcPr>
            <w:tcW w:w="1837" w:type="dxa"/>
            <w:shd w:val="clear" w:color="auto" w:fill="D9D9D9"/>
          </w:tcPr>
          <w:p w14:paraId="1AAD2488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THEME  OF CLASSES</w:t>
            </w:r>
          </w:p>
        </w:tc>
        <w:tc>
          <w:tcPr>
            <w:tcW w:w="7225" w:type="dxa"/>
          </w:tcPr>
          <w:p w14:paraId="1F658F46" w14:textId="7E59F259" w:rsidR="00FD60BB" w:rsidRDefault="007758E9">
            <w:pPr>
              <w:rPr>
                <w:i/>
              </w:rPr>
            </w:pPr>
            <w:r>
              <w:rPr>
                <w:i/>
              </w:rPr>
              <w:t>Gender equality in EU law, equality in the workplace, including acadmic work, n</w:t>
            </w:r>
            <w:r w:rsidR="00E160E2">
              <w:rPr>
                <w:i/>
              </w:rPr>
              <w:t xml:space="preserve">on discrimination </w:t>
            </w:r>
            <w:r w:rsidR="00AB1887">
              <w:rPr>
                <w:i/>
              </w:rPr>
              <w:t>in</w:t>
            </w:r>
            <w:r w:rsidR="009A4F71">
              <w:rPr>
                <w:i/>
              </w:rPr>
              <w:t xml:space="preserve"> </w:t>
            </w:r>
            <w:r w:rsidR="002202AE">
              <w:rPr>
                <w:i/>
              </w:rPr>
              <w:t xml:space="preserve">EU Primary and Secondary </w:t>
            </w:r>
            <w:r w:rsidR="001D448E">
              <w:rPr>
                <w:i/>
              </w:rPr>
              <w:t xml:space="preserve">Law </w:t>
            </w:r>
            <w:r w:rsidR="00AB1887">
              <w:rPr>
                <w:i/>
              </w:rPr>
              <w:t xml:space="preserve">and national law, </w:t>
            </w:r>
            <w:r w:rsidR="002202AE">
              <w:rPr>
                <w:i/>
              </w:rPr>
              <w:t xml:space="preserve">equal treatment </w:t>
            </w:r>
            <w:r w:rsidR="00AB1887">
              <w:rPr>
                <w:i/>
              </w:rPr>
              <w:t xml:space="preserve">in the </w:t>
            </w:r>
            <w:r w:rsidR="002202AE">
              <w:rPr>
                <w:i/>
              </w:rPr>
              <w:t>workplace</w:t>
            </w:r>
            <w:r w:rsidR="00DB5291">
              <w:rPr>
                <w:i/>
              </w:rPr>
              <w:t xml:space="preserve"> (with a focus on academic work)</w:t>
            </w:r>
            <w:r w:rsidR="002202AE">
              <w:rPr>
                <w:i/>
              </w:rPr>
              <w:t xml:space="preserve">. </w:t>
            </w:r>
          </w:p>
          <w:p w14:paraId="0E4CF979" w14:textId="77777777" w:rsidR="006D3730" w:rsidRDefault="006D3730">
            <w:pPr>
              <w:rPr>
                <w:i/>
              </w:rPr>
            </w:pPr>
          </w:p>
          <w:p w14:paraId="7F5F36AA" w14:textId="445B4A81" w:rsidR="0001423C" w:rsidRDefault="007758E9">
            <w:pPr>
              <w:rPr>
                <w:i/>
              </w:rPr>
            </w:pPr>
            <w:r>
              <w:rPr>
                <w:i/>
              </w:rPr>
              <w:t xml:space="preserve">The class deals with the EU legal acts to combat violence against women. It provies a comprehensive insight into all legal act applicable in EU law. </w:t>
            </w:r>
            <w:r w:rsidR="00AB1887">
              <w:rPr>
                <w:i/>
              </w:rPr>
              <w:t xml:space="preserve">The course </w:t>
            </w:r>
            <w:r w:rsidR="00A0554C">
              <w:rPr>
                <w:i/>
              </w:rPr>
              <w:t xml:space="preserve">also </w:t>
            </w:r>
            <w:r w:rsidR="00AB1887">
              <w:rPr>
                <w:i/>
              </w:rPr>
              <w:t xml:space="preserve">focusses on legal remedies and measures against discrimination of women. </w:t>
            </w:r>
          </w:p>
        </w:tc>
      </w:tr>
      <w:tr w:rsidR="00FD60BB" w14:paraId="055C6DE9" w14:textId="77777777">
        <w:tc>
          <w:tcPr>
            <w:tcW w:w="1837" w:type="dxa"/>
            <w:shd w:val="clear" w:color="auto" w:fill="D9D9D9"/>
          </w:tcPr>
          <w:p w14:paraId="45F49C5A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TOPIC</w:t>
            </w:r>
          </w:p>
        </w:tc>
        <w:tc>
          <w:tcPr>
            <w:tcW w:w="7225" w:type="dxa"/>
          </w:tcPr>
          <w:p w14:paraId="7F3F7CA6" w14:textId="78E71AC7" w:rsidR="00932356" w:rsidRDefault="009A4F71" w:rsidP="00932356">
            <w:pPr>
              <w:spacing w:after="200"/>
              <w:rPr>
                <w:i/>
                <w:lang w:val="en-US"/>
              </w:rPr>
            </w:pPr>
            <w:r>
              <w:rPr>
                <w:i/>
              </w:rPr>
              <w:t xml:space="preserve">Gender equality law, </w:t>
            </w:r>
            <w:r w:rsidR="002202AE">
              <w:rPr>
                <w:i/>
              </w:rPr>
              <w:t>CJEU case law</w:t>
            </w:r>
            <w:r>
              <w:rPr>
                <w:i/>
              </w:rPr>
              <w:t xml:space="preserve">, </w:t>
            </w:r>
            <w:r w:rsidR="00AB1887">
              <w:rPr>
                <w:i/>
                <w:lang w:val="en-US"/>
              </w:rPr>
              <w:t xml:space="preserve">legal remedies and case law in selected Member States </w:t>
            </w:r>
          </w:p>
          <w:p w14:paraId="570B43FF" w14:textId="4D68BBF9" w:rsidR="00932356" w:rsidRPr="00DB5291" w:rsidRDefault="00932356" w:rsidP="00932356">
            <w:pPr>
              <w:spacing w:after="200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Measures to reach equality in specific companies </w:t>
            </w:r>
            <w:r w:rsidRPr="006D3730">
              <w:rPr>
                <w:i/>
                <w:lang w:val="en-US"/>
              </w:rPr>
              <w:t>Directive (EU) 2022/2381</w:t>
            </w:r>
            <w:r w:rsidRPr="00932356">
              <w:rPr>
                <w:i/>
                <w:lang w:val="en-US"/>
              </w:rPr>
              <w:t xml:space="preserve"> of the European Parliament and of the Council of 23 November 2022 </w:t>
            </w:r>
            <w:r w:rsidRPr="00DB5291">
              <w:rPr>
                <w:i/>
                <w:lang w:val="en-US"/>
              </w:rPr>
              <w:t xml:space="preserve">on improving the gender balance among directors of listed companies and related </w:t>
            </w:r>
            <w:proofErr w:type="gramStart"/>
            <w:r w:rsidRPr="00DB5291">
              <w:rPr>
                <w:i/>
                <w:lang w:val="en-US"/>
              </w:rPr>
              <w:t>measure</w:t>
            </w:r>
            <w:r w:rsidR="006D3730" w:rsidRPr="00DB5291">
              <w:rPr>
                <w:i/>
                <w:lang w:val="en-US"/>
              </w:rPr>
              <w:t>s</w:t>
            </w:r>
            <w:proofErr w:type="gramEnd"/>
          </w:p>
          <w:p w14:paraId="541EFD11" w14:textId="1E8D9A7F" w:rsidR="00FD60BB" w:rsidRDefault="00A0554C">
            <w:pPr>
              <w:rPr>
                <w:i/>
              </w:rPr>
            </w:pPr>
            <w:r>
              <w:rPr>
                <w:i/>
                <w:lang w:val="en-US"/>
              </w:rPr>
              <w:t>R</w:t>
            </w:r>
            <w:r w:rsidR="002202AE">
              <w:rPr>
                <w:i/>
              </w:rPr>
              <w:t>atific</w:t>
            </w:r>
            <w:r w:rsidR="00932356">
              <w:rPr>
                <w:i/>
              </w:rPr>
              <w:t>a</w:t>
            </w:r>
            <w:r w:rsidR="002202AE">
              <w:rPr>
                <w:i/>
              </w:rPr>
              <w:t>tion of the Istanbul Convention by the EU and its consequences</w:t>
            </w:r>
            <w:r>
              <w:rPr>
                <w:i/>
              </w:rPr>
              <w:t>, draft secondary legislation to combat violoence against women.</w:t>
            </w:r>
          </w:p>
          <w:p w14:paraId="51A9D608" w14:textId="6748F9AE" w:rsidR="00CB3DA8" w:rsidRDefault="00CB3DA8">
            <w:pPr>
              <w:rPr>
                <w:i/>
              </w:rPr>
            </w:pPr>
            <w:r>
              <w:rPr>
                <w:i/>
              </w:rPr>
              <w:t>Content of the legal obligations</w:t>
            </w:r>
          </w:p>
          <w:p w14:paraId="43DF53E3" w14:textId="3A7EA212" w:rsidR="00FD60BB" w:rsidRDefault="00932356">
            <w:pPr>
              <w:rPr>
                <w:i/>
              </w:rPr>
            </w:pPr>
            <w:r>
              <w:rPr>
                <w:i/>
              </w:rPr>
              <w:t>EU law</w:t>
            </w:r>
            <w:r w:rsidR="00A0554C">
              <w:rPr>
                <w:i/>
              </w:rPr>
              <w:t xml:space="preserve">: </w:t>
            </w:r>
            <w:r w:rsidR="00A23A87">
              <w:rPr>
                <w:i/>
              </w:rPr>
              <w:t xml:space="preserve"> </w:t>
            </w:r>
            <w:r w:rsidR="009A4F71">
              <w:rPr>
                <w:i/>
              </w:rPr>
              <w:t>What are the options to reach gender equality in academia?</w:t>
            </w:r>
            <w:r w:rsidR="0001423C">
              <w:rPr>
                <w:i/>
              </w:rPr>
              <w:t xml:space="preserve"> </w:t>
            </w:r>
            <w:r w:rsidR="00A0554C">
              <w:rPr>
                <w:i/>
              </w:rPr>
              <w:t>EU programmes to promote gender equalty in academia.</w:t>
            </w:r>
          </w:p>
          <w:p w14:paraId="69A1F5B7" w14:textId="77777777" w:rsidR="00FD60BB" w:rsidRDefault="00FD60BB"/>
        </w:tc>
      </w:tr>
      <w:tr w:rsidR="00FD60BB" w14:paraId="4BCE08A0" w14:textId="77777777">
        <w:tc>
          <w:tcPr>
            <w:tcW w:w="1837" w:type="dxa"/>
            <w:shd w:val="clear" w:color="auto" w:fill="D9D9D9"/>
          </w:tcPr>
          <w:p w14:paraId="45F143DC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DURATION OF CLASSES</w:t>
            </w:r>
          </w:p>
        </w:tc>
        <w:tc>
          <w:tcPr>
            <w:tcW w:w="7225" w:type="dxa"/>
          </w:tcPr>
          <w:p w14:paraId="53C51BF3" w14:textId="77777777" w:rsidR="00FD60BB" w:rsidRDefault="009A4F71">
            <w:pPr>
              <w:rPr>
                <w:i/>
              </w:rPr>
            </w:pPr>
            <w:r>
              <w:rPr>
                <w:i/>
              </w:rPr>
              <w:t>1,5 h</w:t>
            </w:r>
          </w:p>
        </w:tc>
      </w:tr>
      <w:tr w:rsidR="00FD60BB" w14:paraId="2C212ECD" w14:textId="77777777">
        <w:tc>
          <w:tcPr>
            <w:tcW w:w="1837" w:type="dxa"/>
            <w:shd w:val="clear" w:color="auto" w:fill="D9D9D9"/>
          </w:tcPr>
          <w:p w14:paraId="3A2DC9AD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</w:t>
            </w:r>
          </w:p>
        </w:tc>
        <w:tc>
          <w:tcPr>
            <w:tcW w:w="7225" w:type="dxa"/>
          </w:tcPr>
          <w:p w14:paraId="099ECCBD" w14:textId="77777777" w:rsidR="00FD60BB" w:rsidRDefault="009A4F71">
            <w:pPr>
              <w:rPr>
                <w:i/>
              </w:rPr>
            </w:pPr>
            <w:r>
              <w:rPr>
                <w:rFonts w:ascii="Roboto" w:eastAsia="Roboto" w:hAnsi="Roboto" w:cs="Roboto"/>
                <w:i/>
                <w:color w:val="3C4043"/>
                <w:sz w:val="21"/>
                <w:szCs w:val="21"/>
                <w:highlight w:val="white"/>
              </w:rPr>
              <w:t xml:space="preserve">Physical (face-to-face in class sessions), Online or Hybrid </w:t>
            </w:r>
          </w:p>
        </w:tc>
      </w:tr>
      <w:tr w:rsidR="00FD60BB" w14:paraId="09B8308E" w14:textId="77777777">
        <w:tc>
          <w:tcPr>
            <w:tcW w:w="1837" w:type="dxa"/>
            <w:shd w:val="clear" w:color="auto" w:fill="D9D9D9"/>
          </w:tcPr>
          <w:p w14:paraId="100D3489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KEYWORDS</w:t>
            </w:r>
          </w:p>
        </w:tc>
        <w:tc>
          <w:tcPr>
            <w:tcW w:w="7225" w:type="dxa"/>
          </w:tcPr>
          <w:p w14:paraId="65A518E0" w14:textId="271C555F" w:rsidR="00FD60BB" w:rsidRDefault="00A23A87">
            <w:pPr>
              <w:rPr>
                <w:i/>
              </w:rPr>
            </w:pPr>
            <w:r>
              <w:rPr>
                <w:i/>
              </w:rPr>
              <w:t>Gender equality</w:t>
            </w:r>
            <w:r w:rsidR="00932356">
              <w:rPr>
                <w:i/>
              </w:rPr>
              <w:t xml:space="preserve"> in EU Law</w:t>
            </w:r>
            <w:r>
              <w:rPr>
                <w:i/>
              </w:rPr>
              <w:t>, violence against women, sexual harrassment, remedies ag</w:t>
            </w:r>
            <w:r w:rsidR="00932356">
              <w:rPr>
                <w:i/>
              </w:rPr>
              <w:t>ain</w:t>
            </w:r>
            <w:r>
              <w:rPr>
                <w:i/>
              </w:rPr>
              <w:t>st discrimination and forms of violence and harrassment</w:t>
            </w:r>
          </w:p>
        </w:tc>
      </w:tr>
    </w:tbl>
    <w:p w14:paraId="7A2B6FA1" w14:textId="77777777" w:rsidR="00FD60BB" w:rsidRDefault="00FD60BB">
      <w:pPr>
        <w:rPr>
          <w:b/>
          <w:sz w:val="20"/>
          <w:szCs w:val="20"/>
        </w:rPr>
      </w:pPr>
    </w:p>
    <w:p w14:paraId="6F666E98" w14:textId="77777777" w:rsidR="00FD60BB" w:rsidRDefault="009A4F71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PART 2. OF SCENARIO</w:t>
      </w:r>
    </w:p>
    <w:tbl>
      <w:tblPr>
        <w:tblStyle w:val="2"/>
        <w:tblW w:w="9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97"/>
        <w:gridCol w:w="7144"/>
      </w:tblGrid>
      <w:tr w:rsidR="00FD60BB" w14:paraId="1E422D8C" w14:textId="77777777">
        <w:trPr>
          <w:trHeight w:val="915"/>
        </w:trPr>
        <w:tc>
          <w:tcPr>
            <w:tcW w:w="1997" w:type="dxa"/>
            <w:shd w:val="clear" w:color="auto" w:fill="D9D9D9"/>
            <w:vAlign w:val="center"/>
          </w:tcPr>
          <w:p w14:paraId="47ADA7D7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THE AIM OF THE CLASSES</w:t>
            </w:r>
          </w:p>
        </w:tc>
        <w:tc>
          <w:tcPr>
            <w:tcW w:w="7144" w:type="dxa"/>
            <w:shd w:val="clear" w:color="auto" w:fill="D9D9D9"/>
            <w:vAlign w:val="center"/>
          </w:tcPr>
          <w:p w14:paraId="6C0CCF3A" w14:textId="3A0B4B55" w:rsidR="00FD60BB" w:rsidRDefault="009A4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 xml:space="preserve">The aim of the class is that students get a profound knowledge and understanding of legal obligations existing in </w:t>
            </w:r>
            <w:r w:rsidR="00A0554C">
              <w:rPr>
                <w:i/>
              </w:rPr>
              <w:t xml:space="preserve">EU Law </w:t>
            </w:r>
            <w:r>
              <w:rPr>
                <w:i/>
              </w:rPr>
              <w:t xml:space="preserve">and </w:t>
            </w:r>
            <w:r w:rsidR="001D448E">
              <w:rPr>
                <w:i/>
              </w:rPr>
              <w:t>n</w:t>
            </w:r>
            <w:r>
              <w:rPr>
                <w:i/>
              </w:rPr>
              <w:t>ational</w:t>
            </w:r>
            <w:r w:rsidR="001D448E">
              <w:rPr>
                <w:i/>
              </w:rPr>
              <w:t xml:space="preserve"> l</w:t>
            </w:r>
            <w:r>
              <w:rPr>
                <w:i/>
              </w:rPr>
              <w:t>aw in the respective State which govern gender equality in general and in the workplace. A special focus lies on gender equality in academia.</w:t>
            </w:r>
            <w:r w:rsidR="00A23A87">
              <w:rPr>
                <w:i/>
              </w:rPr>
              <w:t xml:space="preserve"> The lecture also focusses on the intention to eliminate gender violence and sexual harassment</w:t>
            </w:r>
            <w:r w:rsidR="00A0554C">
              <w:rPr>
                <w:i/>
              </w:rPr>
              <w:t xml:space="preserve"> in EU Law and the membership of the EU in the Istanbul Convention.</w:t>
            </w:r>
          </w:p>
          <w:p w14:paraId="5E55D471" w14:textId="77777777" w:rsidR="006D3730" w:rsidRDefault="006D3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  <w:p w14:paraId="4276C208" w14:textId="0B594A57" w:rsidR="00FD60BB" w:rsidRDefault="009A4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The class intends to analyse all existing legal obligations</w:t>
            </w:r>
            <w:r w:rsidR="00A23A87">
              <w:rPr>
                <w:i/>
                <w:color w:val="000000"/>
              </w:rPr>
              <w:t xml:space="preserve"> in Public International Law and their</w:t>
            </w:r>
            <w:r>
              <w:rPr>
                <w:i/>
                <w:color w:val="000000"/>
              </w:rPr>
              <w:t xml:space="preserve"> implementation and focuses on options to strengthen gender equality in the workplace and especially in academic scenarios. </w:t>
            </w:r>
          </w:p>
          <w:p w14:paraId="60FE7E5A" w14:textId="77777777" w:rsidR="00FD60BB" w:rsidRDefault="009A4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A further aim is that students become aware of existing promoti</w:t>
            </w:r>
            <w:r>
              <w:rPr>
                <w:i/>
              </w:rPr>
              <w:t>o</w:t>
            </w:r>
            <w:r>
              <w:rPr>
                <w:i/>
                <w:color w:val="000000"/>
              </w:rPr>
              <w:t xml:space="preserve">nal programmes to </w:t>
            </w:r>
            <w:r>
              <w:rPr>
                <w:i/>
              </w:rPr>
              <w:t>i</w:t>
            </w:r>
            <w:r>
              <w:rPr>
                <w:i/>
                <w:color w:val="000000"/>
              </w:rPr>
              <w:t xml:space="preserve">ncrease the number of female academics in higher positions and to acquire the necessary academic qualifications. </w:t>
            </w:r>
          </w:p>
        </w:tc>
      </w:tr>
      <w:tr w:rsidR="00FD60BB" w14:paraId="7C07B24E" w14:textId="77777777">
        <w:trPr>
          <w:trHeight w:val="985"/>
        </w:trPr>
        <w:tc>
          <w:tcPr>
            <w:tcW w:w="1997" w:type="dxa"/>
            <w:shd w:val="clear" w:color="auto" w:fill="D9D9D9"/>
            <w:vAlign w:val="center"/>
          </w:tcPr>
          <w:p w14:paraId="6BDA0815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LEARNING OUTCOMES</w:t>
            </w:r>
          </w:p>
        </w:tc>
        <w:tc>
          <w:tcPr>
            <w:tcW w:w="7144" w:type="dxa"/>
            <w:shd w:val="clear" w:color="auto" w:fill="D9D9D9"/>
            <w:vAlign w:val="center"/>
          </w:tcPr>
          <w:p w14:paraId="2674FE9F" w14:textId="1DC3E7B7" w:rsidR="00FD60BB" w:rsidRDefault="009A4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At the end students are familiar with the existing legal framework. Students have a profound knowle</w:t>
            </w:r>
            <w:r>
              <w:rPr>
                <w:i/>
              </w:rPr>
              <w:t>dg</w:t>
            </w:r>
            <w:r>
              <w:rPr>
                <w:i/>
                <w:color w:val="000000"/>
              </w:rPr>
              <w:t>e in gender equality law and its application in practice.</w:t>
            </w:r>
          </w:p>
          <w:p w14:paraId="7F9D2A33" w14:textId="77777777" w:rsidR="006D3730" w:rsidRDefault="006D3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  <w:p w14:paraId="7158F04D" w14:textId="77777777" w:rsidR="00FD60BB" w:rsidRDefault="009A4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  <w:r>
              <w:rPr>
                <w:i/>
                <w:color w:val="000000"/>
              </w:rPr>
              <w:t xml:space="preserve">Students are able to give legal advice in gender equality issues. </w:t>
            </w:r>
          </w:p>
        </w:tc>
      </w:tr>
      <w:tr w:rsidR="00FD60BB" w14:paraId="5D20D4D7" w14:textId="77777777">
        <w:trPr>
          <w:trHeight w:val="700"/>
        </w:trPr>
        <w:tc>
          <w:tcPr>
            <w:tcW w:w="1997" w:type="dxa"/>
            <w:shd w:val="clear" w:color="auto" w:fill="D9D9D9"/>
            <w:vAlign w:val="center"/>
          </w:tcPr>
          <w:p w14:paraId="4E504FBF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SUGGESTED TOOLS </w:t>
            </w:r>
          </w:p>
        </w:tc>
        <w:tc>
          <w:tcPr>
            <w:tcW w:w="7144" w:type="dxa"/>
            <w:vAlign w:val="center"/>
          </w:tcPr>
          <w:p w14:paraId="0FB684B9" w14:textId="77777777" w:rsidR="00FD60BB" w:rsidRDefault="009A4F71">
            <w:pPr>
              <w:rPr>
                <w:i/>
                <w:iCs/>
              </w:rPr>
            </w:pPr>
            <w:r w:rsidRPr="00A23A87">
              <w:rPr>
                <w:i/>
                <w:iCs/>
              </w:rPr>
              <w:t xml:space="preserve">Students read and analyse legal texts, they study case law and analyse practical application and implementation of laws. </w:t>
            </w:r>
            <w:r w:rsidR="007700A0">
              <w:rPr>
                <w:i/>
                <w:iCs/>
              </w:rPr>
              <w:t>EU gender equality law is a comprehensive topic. Students will be prepared to be able to quickl identify the legal problems and find the relevant sources.</w:t>
            </w:r>
          </w:p>
          <w:p w14:paraId="7A104480" w14:textId="4B68D4BF" w:rsidR="006D3730" w:rsidRPr="00A23A87" w:rsidRDefault="006D3730">
            <w:pPr>
              <w:rPr>
                <w:i/>
                <w:iCs/>
              </w:rPr>
            </w:pPr>
          </w:p>
        </w:tc>
      </w:tr>
      <w:tr w:rsidR="00FD60BB" w14:paraId="1DB12763" w14:textId="77777777">
        <w:trPr>
          <w:trHeight w:val="700"/>
        </w:trPr>
        <w:tc>
          <w:tcPr>
            <w:tcW w:w="1997" w:type="dxa"/>
            <w:shd w:val="clear" w:color="auto" w:fill="D9D9D9"/>
            <w:vAlign w:val="center"/>
          </w:tcPr>
          <w:p w14:paraId="4F921D23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TIPS / METHODOLOGICAL REMARKS</w:t>
            </w:r>
          </w:p>
        </w:tc>
        <w:tc>
          <w:tcPr>
            <w:tcW w:w="7144" w:type="dxa"/>
            <w:vAlign w:val="center"/>
          </w:tcPr>
          <w:p w14:paraId="3374AA2C" w14:textId="77777777" w:rsidR="00FD60BB" w:rsidRPr="00DB5291" w:rsidRDefault="009A4F71">
            <w:pPr>
              <w:rPr>
                <w:i/>
                <w:iCs/>
                <w:lang w:val="en-US"/>
              </w:rPr>
            </w:pPr>
            <w:r w:rsidRPr="00DB5291">
              <w:rPr>
                <w:i/>
                <w:iCs/>
              </w:rPr>
              <w:t>Analysis of legal obligations, practical implementation, remedies, soft law instruments</w:t>
            </w:r>
          </w:p>
        </w:tc>
      </w:tr>
      <w:tr w:rsidR="00FD60BB" w14:paraId="528D1510" w14:textId="77777777">
        <w:trPr>
          <w:trHeight w:val="700"/>
        </w:trPr>
        <w:tc>
          <w:tcPr>
            <w:tcW w:w="1997" w:type="dxa"/>
            <w:shd w:val="clear" w:color="auto" w:fill="D9D9D9"/>
            <w:vAlign w:val="center"/>
          </w:tcPr>
          <w:p w14:paraId="3040CCCB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RISKS</w:t>
            </w:r>
          </w:p>
        </w:tc>
        <w:tc>
          <w:tcPr>
            <w:tcW w:w="7144" w:type="dxa"/>
            <w:vAlign w:val="center"/>
          </w:tcPr>
          <w:p w14:paraId="40FD5AB1" w14:textId="77777777" w:rsidR="00FD60BB" w:rsidRPr="00DB5291" w:rsidRDefault="009A4F71">
            <w:pPr>
              <w:rPr>
                <w:i/>
                <w:iCs/>
              </w:rPr>
            </w:pPr>
            <w:r w:rsidRPr="00DB5291">
              <w:rPr>
                <w:i/>
                <w:iCs/>
              </w:rPr>
              <w:t>No risks</w:t>
            </w:r>
          </w:p>
        </w:tc>
      </w:tr>
    </w:tbl>
    <w:p w14:paraId="096DDBB6" w14:textId="77777777" w:rsidR="00FD60BB" w:rsidRDefault="00FD60BB"/>
    <w:p w14:paraId="569280E0" w14:textId="77777777" w:rsidR="00FD60BB" w:rsidRDefault="009A4F71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PART 3. OF SCENARIO</w:t>
      </w:r>
    </w:p>
    <w:tbl>
      <w:tblPr>
        <w:tblStyle w:val="1"/>
        <w:tblW w:w="9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3"/>
        <w:gridCol w:w="1969"/>
        <w:gridCol w:w="5319"/>
      </w:tblGrid>
      <w:tr w:rsidR="00FD60BB" w14:paraId="635461AF" w14:textId="77777777">
        <w:trPr>
          <w:trHeight w:val="700"/>
        </w:trPr>
        <w:tc>
          <w:tcPr>
            <w:tcW w:w="1853" w:type="dxa"/>
            <w:shd w:val="clear" w:color="auto" w:fill="D9D9D9"/>
            <w:vAlign w:val="center"/>
          </w:tcPr>
          <w:p w14:paraId="4D66EE36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LEARNING CONTENT - CHARACTERISTICS</w:t>
            </w:r>
          </w:p>
        </w:tc>
        <w:tc>
          <w:tcPr>
            <w:tcW w:w="7288" w:type="dxa"/>
            <w:gridSpan w:val="2"/>
            <w:vAlign w:val="center"/>
          </w:tcPr>
          <w:p w14:paraId="0A580E7C" w14:textId="77777777" w:rsidR="006D3730" w:rsidRDefault="00A23A87" w:rsidP="00A23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747ED5">
              <w:rPr>
                <w:i/>
                <w:iCs/>
                <w:color w:val="000000"/>
              </w:rPr>
              <w:t xml:space="preserve">The learning content comprises slides with an introduction into the legal obligations and their content relating to gender equality and violence against women, prevention of violence, remedies and reparations. </w:t>
            </w:r>
          </w:p>
          <w:p w14:paraId="2BC701F3" w14:textId="77777777" w:rsidR="006D3730" w:rsidRDefault="006D3730" w:rsidP="00A23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</w:p>
          <w:p w14:paraId="00CD697C" w14:textId="6F305202" w:rsidR="00FD60BB" w:rsidRPr="00747ED5" w:rsidRDefault="00A23A87" w:rsidP="00A23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747ED5">
              <w:rPr>
                <w:i/>
                <w:iCs/>
                <w:color w:val="000000"/>
              </w:rPr>
              <w:t xml:space="preserve">Legal texts, abstracts from cases and materials as an additional reader complement the teaching materials. </w:t>
            </w:r>
          </w:p>
        </w:tc>
      </w:tr>
      <w:tr w:rsidR="00FD60BB" w14:paraId="42745B65" w14:textId="77777777">
        <w:trPr>
          <w:trHeight w:val="700"/>
        </w:trPr>
        <w:tc>
          <w:tcPr>
            <w:tcW w:w="1853" w:type="dxa"/>
            <w:shd w:val="clear" w:color="auto" w:fill="D9D9D9"/>
            <w:vAlign w:val="center"/>
          </w:tcPr>
          <w:p w14:paraId="373453C9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BASICTERMS</w:t>
            </w:r>
          </w:p>
        </w:tc>
        <w:tc>
          <w:tcPr>
            <w:tcW w:w="7288" w:type="dxa"/>
            <w:gridSpan w:val="2"/>
            <w:vAlign w:val="center"/>
          </w:tcPr>
          <w:p w14:paraId="6D7F29D2" w14:textId="7C118370" w:rsidR="00FD60BB" w:rsidRDefault="00C5646F">
            <w:r w:rsidRPr="003130B7">
              <w:rPr>
                <w:i/>
                <w:iCs/>
                <w:lang w:val="en-GB"/>
              </w:rPr>
              <w:t>Gender equality, non</w:t>
            </w:r>
            <w:r>
              <w:rPr>
                <w:i/>
                <w:iCs/>
                <w:lang w:val="en-GB"/>
              </w:rPr>
              <w:t>-</w:t>
            </w:r>
            <w:r w:rsidRPr="003130B7">
              <w:rPr>
                <w:i/>
                <w:iCs/>
                <w:lang w:val="en-GB"/>
              </w:rPr>
              <w:t xml:space="preserve">discrimination, human rights </w:t>
            </w:r>
            <w:proofErr w:type="gramStart"/>
            <w:r w:rsidRPr="003130B7">
              <w:rPr>
                <w:i/>
                <w:iCs/>
                <w:lang w:val="en-GB"/>
              </w:rPr>
              <w:t>provisions</w:t>
            </w:r>
            <w:proofErr w:type="gramEnd"/>
            <w:r w:rsidRPr="003130B7">
              <w:rPr>
                <w:i/>
                <w:iCs/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 xml:space="preserve">and EU legal acts </w:t>
            </w:r>
            <w:r w:rsidRPr="003130B7">
              <w:rPr>
                <w:i/>
                <w:iCs/>
                <w:lang w:val="en-GB"/>
              </w:rPr>
              <w:t>to protect women</w:t>
            </w:r>
            <w:r>
              <w:rPr>
                <w:i/>
                <w:iCs/>
                <w:lang w:val="en-GB"/>
              </w:rPr>
              <w:t xml:space="preserve"> </w:t>
            </w:r>
          </w:p>
        </w:tc>
      </w:tr>
      <w:tr w:rsidR="00FD60BB" w14:paraId="01BDC823" w14:textId="77777777">
        <w:trPr>
          <w:trHeight w:val="171"/>
        </w:trPr>
        <w:tc>
          <w:tcPr>
            <w:tcW w:w="1853" w:type="dxa"/>
            <w:vMerge w:val="restart"/>
            <w:shd w:val="clear" w:color="auto" w:fill="D9D9D9"/>
            <w:vAlign w:val="center"/>
          </w:tcPr>
          <w:p w14:paraId="04E30025" w14:textId="77777777" w:rsidR="00FD60BB" w:rsidRDefault="009A4F71">
            <w:pPr>
              <w:rPr>
                <w:b/>
              </w:rPr>
            </w:pPr>
            <w:r>
              <w:rPr>
                <w:b/>
              </w:rPr>
              <w:t>COURSE OF THE CLASS</w:t>
            </w:r>
          </w:p>
          <w:p w14:paraId="138945BD" w14:textId="77777777" w:rsidR="00FD60BB" w:rsidRDefault="00FD60BB">
            <w:pPr>
              <w:rPr>
                <w:b/>
              </w:rPr>
            </w:pPr>
          </w:p>
        </w:tc>
        <w:tc>
          <w:tcPr>
            <w:tcW w:w="1969" w:type="dxa"/>
            <w:shd w:val="clear" w:color="auto" w:fill="D9D9D9"/>
            <w:vAlign w:val="center"/>
          </w:tcPr>
          <w:p w14:paraId="14452347" w14:textId="77777777" w:rsidR="00FD60BB" w:rsidRDefault="00FD60BB">
            <w:pPr>
              <w:rPr>
                <w:b/>
                <w:sz w:val="20"/>
                <w:szCs w:val="20"/>
              </w:rPr>
            </w:pPr>
          </w:p>
          <w:p w14:paraId="3B671670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STEP 1</w:t>
            </w:r>
          </w:p>
        </w:tc>
        <w:tc>
          <w:tcPr>
            <w:tcW w:w="5319" w:type="dxa"/>
            <w:vAlign w:val="center"/>
          </w:tcPr>
          <w:p w14:paraId="55A4523A" w14:textId="77777777" w:rsidR="00FD60BB" w:rsidRDefault="009A4F71">
            <w:pPr>
              <w:rPr>
                <w:i/>
                <w:iCs/>
              </w:rPr>
            </w:pPr>
            <w:r w:rsidRPr="00747ED5">
              <w:rPr>
                <w:i/>
                <w:iCs/>
              </w:rPr>
              <w:t>Elaborating legal obligations, raising awareness and knowledge, interpreting legal texts.</w:t>
            </w:r>
          </w:p>
          <w:p w14:paraId="7CD490A3" w14:textId="0CA29E6C" w:rsidR="006D3730" w:rsidRPr="00747ED5" w:rsidRDefault="006D3730">
            <w:pPr>
              <w:rPr>
                <w:i/>
                <w:iCs/>
              </w:rPr>
            </w:pPr>
          </w:p>
        </w:tc>
      </w:tr>
      <w:tr w:rsidR="00FD60BB" w14:paraId="77AAEFED" w14:textId="77777777">
        <w:trPr>
          <w:trHeight w:val="171"/>
        </w:trPr>
        <w:tc>
          <w:tcPr>
            <w:tcW w:w="1853" w:type="dxa"/>
            <w:vMerge/>
            <w:shd w:val="clear" w:color="auto" w:fill="D9D9D9"/>
            <w:vAlign w:val="center"/>
          </w:tcPr>
          <w:p w14:paraId="68B39132" w14:textId="77777777" w:rsidR="00FD60BB" w:rsidRDefault="00FD6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69" w:type="dxa"/>
            <w:shd w:val="clear" w:color="auto" w:fill="D9D9D9"/>
            <w:vAlign w:val="center"/>
          </w:tcPr>
          <w:p w14:paraId="4BD62AFE" w14:textId="77777777" w:rsidR="00FD60BB" w:rsidRDefault="009A4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STEP 2</w:t>
            </w:r>
          </w:p>
        </w:tc>
        <w:tc>
          <w:tcPr>
            <w:tcW w:w="5319" w:type="dxa"/>
            <w:vAlign w:val="center"/>
          </w:tcPr>
          <w:p w14:paraId="723C3E78" w14:textId="011D29D6" w:rsidR="00FD60BB" w:rsidRPr="00747ED5" w:rsidRDefault="009A4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747ED5">
              <w:rPr>
                <w:i/>
                <w:iCs/>
                <w:color w:val="000000"/>
              </w:rPr>
              <w:t xml:space="preserve">Doing case studies, elaborating a profound picture about gender equality </w:t>
            </w:r>
            <w:r w:rsidR="00747ED5">
              <w:rPr>
                <w:i/>
                <w:iCs/>
                <w:color w:val="000000"/>
              </w:rPr>
              <w:t xml:space="preserve">on the level of Publich International Lawnand the law </w:t>
            </w:r>
            <w:r w:rsidRPr="00747ED5">
              <w:rPr>
                <w:i/>
                <w:iCs/>
                <w:color w:val="000000"/>
              </w:rPr>
              <w:t>in the respective State.</w:t>
            </w:r>
          </w:p>
          <w:p w14:paraId="0C356687" w14:textId="77777777" w:rsidR="00FD60BB" w:rsidRPr="00747ED5" w:rsidRDefault="00FD6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i/>
                <w:iCs/>
                <w:color w:val="000000"/>
              </w:rPr>
            </w:pPr>
          </w:p>
        </w:tc>
      </w:tr>
      <w:tr w:rsidR="00FD60BB" w14:paraId="11428A4D" w14:textId="77777777">
        <w:trPr>
          <w:trHeight w:val="732"/>
        </w:trPr>
        <w:tc>
          <w:tcPr>
            <w:tcW w:w="1853" w:type="dxa"/>
            <w:vMerge/>
            <w:shd w:val="clear" w:color="auto" w:fill="D9D9D9"/>
            <w:vAlign w:val="center"/>
          </w:tcPr>
          <w:p w14:paraId="73C361B6" w14:textId="77777777" w:rsidR="00FD60BB" w:rsidRDefault="00FD6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69" w:type="dxa"/>
            <w:shd w:val="clear" w:color="auto" w:fill="D9D9D9"/>
            <w:vAlign w:val="center"/>
          </w:tcPr>
          <w:p w14:paraId="298884D2" w14:textId="77777777" w:rsidR="00FD60BB" w:rsidRDefault="009A4F71">
            <w:pPr>
              <w:rPr>
                <w:b/>
              </w:rPr>
            </w:pPr>
            <w:r>
              <w:rPr>
                <w:b/>
              </w:rPr>
              <w:t>STEP 3</w:t>
            </w:r>
          </w:p>
        </w:tc>
        <w:tc>
          <w:tcPr>
            <w:tcW w:w="5319" w:type="dxa"/>
            <w:vAlign w:val="center"/>
          </w:tcPr>
          <w:p w14:paraId="2790B189" w14:textId="5BB33C69" w:rsidR="00747ED5" w:rsidRPr="00DB5291" w:rsidRDefault="009A4F71">
            <w:pPr>
              <w:rPr>
                <w:i/>
                <w:iCs/>
              </w:rPr>
            </w:pPr>
            <w:r w:rsidRPr="00DB5291">
              <w:rPr>
                <w:i/>
                <w:iCs/>
              </w:rPr>
              <w:t>Elaborating ways how to increase gender equality</w:t>
            </w:r>
            <w:r w:rsidR="00747ED5" w:rsidRPr="00DB5291">
              <w:rPr>
                <w:i/>
                <w:iCs/>
              </w:rPr>
              <w:t xml:space="preserve">, assessing the possibilities to prevent violence, to protect victims and to punish prerpetrators. </w:t>
            </w:r>
          </w:p>
          <w:p w14:paraId="603889E3" w14:textId="77777777" w:rsidR="006D3730" w:rsidRPr="00DB5291" w:rsidRDefault="006D3730">
            <w:pPr>
              <w:rPr>
                <w:i/>
                <w:iCs/>
              </w:rPr>
            </w:pPr>
          </w:p>
          <w:p w14:paraId="755C2FF2" w14:textId="740EA0E7" w:rsidR="00FD60BB" w:rsidRPr="00DB5291" w:rsidRDefault="009A4F71">
            <w:pPr>
              <w:rPr>
                <w:i/>
                <w:iCs/>
              </w:rPr>
            </w:pPr>
            <w:r w:rsidRPr="00DB5291">
              <w:rPr>
                <w:i/>
                <w:iCs/>
              </w:rPr>
              <w:t>Assessment of promotional programmes, work-life balance and gender equality, unequal workload of female academics</w:t>
            </w:r>
          </w:p>
          <w:p w14:paraId="703FBD25" w14:textId="77777777" w:rsidR="006D3730" w:rsidRPr="00DB5291" w:rsidRDefault="006D3730">
            <w:pPr>
              <w:rPr>
                <w:i/>
                <w:iCs/>
              </w:rPr>
            </w:pPr>
          </w:p>
          <w:p w14:paraId="6CA857F0" w14:textId="77777777" w:rsidR="00FD60BB" w:rsidRPr="007621C4" w:rsidRDefault="009A4F71">
            <w:pPr>
              <w:rPr>
                <w:lang w:val="de-AT"/>
              </w:rPr>
            </w:pPr>
            <w:r w:rsidRPr="00DB5291">
              <w:rPr>
                <w:i/>
                <w:iCs/>
              </w:rPr>
              <w:t>Using the Handbook created by the GEPARD project to increase gender equality in practice</w:t>
            </w:r>
          </w:p>
        </w:tc>
      </w:tr>
    </w:tbl>
    <w:p w14:paraId="40C0660B" w14:textId="77777777" w:rsidR="00FD60BB" w:rsidRDefault="009A4F71">
      <w:r>
        <w:t xml:space="preserve"> </w:t>
      </w:r>
    </w:p>
    <w:p w14:paraId="30178512" w14:textId="77777777" w:rsidR="00FD60BB" w:rsidRDefault="009A4F71">
      <w:pPr>
        <w:rPr>
          <w:b/>
        </w:rPr>
      </w:pPr>
      <w:r>
        <w:rPr>
          <w:b/>
        </w:rPr>
        <w:t>PART 4. OF SCENARIO: ADDITIONAL MATERIALS (WORKSHEET, CARDS, PICTURES, RECORDINGS</w:t>
      </w:r>
    </w:p>
    <w:p w14:paraId="64A8EC4F" w14:textId="299B3D01" w:rsidR="001D448E" w:rsidRDefault="001D448E">
      <w:pPr>
        <w:rPr>
          <w:b/>
        </w:rPr>
      </w:pPr>
      <w:r>
        <w:rPr>
          <w:b/>
        </w:rPr>
        <w:t xml:space="preserve">Slides Gender Equality in </w:t>
      </w:r>
      <w:r w:rsidR="002202AE">
        <w:rPr>
          <w:b/>
        </w:rPr>
        <w:t xml:space="preserve">European Union Law </w:t>
      </w:r>
      <w:r>
        <w:rPr>
          <w:b/>
        </w:rPr>
        <w:t>Law</w:t>
      </w:r>
    </w:p>
    <w:p w14:paraId="281CBFE6" w14:textId="7D461259" w:rsidR="00747ED5" w:rsidRDefault="00747ED5" w:rsidP="00747ED5">
      <w:pPr>
        <w:rPr>
          <w:b/>
        </w:rPr>
      </w:pPr>
      <w:r>
        <w:rPr>
          <w:b/>
        </w:rPr>
        <w:t xml:space="preserve">Texts of legal sources and extracts from case law </w:t>
      </w:r>
    </w:p>
    <w:p w14:paraId="043AD839" w14:textId="7CB20E2F" w:rsidR="007758E9" w:rsidRDefault="007758E9" w:rsidP="00747ED5">
      <w:pPr>
        <w:rPr>
          <w:b/>
        </w:rPr>
      </w:pPr>
      <w:r>
        <w:rPr>
          <w:b/>
        </w:rPr>
        <w:t xml:space="preserve">Recent developments in EU gender equality law </w:t>
      </w:r>
      <w:hyperlink r:id="rId8" w:history="1">
        <w:r>
          <w:rPr>
            <w:rStyle w:val="Hyperlink"/>
          </w:rPr>
          <w:t>Equality between men and women | Fact Sheets on the European Union | European Parliament (europa.eu)</w:t>
        </w:r>
      </w:hyperlink>
    </w:p>
    <w:p w14:paraId="33618C44" w14:textId="35C05DFD" w:rsidR="00747ED5" w:rsidRDefault="00B50A43">
      <w:pPr>
        <w:rPr>
          <w:b/>
        </w:rPr>
      </w:pPr>
      <w:r>
        <w:rPr>
          <w:b/>
        </w:rPr>
        <w:t>Video about gender equality in the Euro</w:t>
      </w:r>
      <w:r w:rsidR="00BE7379">
        <w:rPr>
          <w:b/>
        </w:rPr>
        <w:t>p</w:t>
      </w:r>
      <w:r>
        <w:rPr>
          <w:b/>
        </w:rPr>
        <w:t xml:space="preserve">ean Union </w:t>
      </w:r>
      <w:hyperlink r:id="rId9" w:history="1">
        <w:r w:rsidR="007700A0">
          <w:rPr>
            <w:rStyle w:val="Hyperlink"/>
          </w:rPr>
          <w:t>EP Committee on Women’s Rights and Gender Equality Enhancing gender equality through common European action on care - Multimedia Centre (europa.eu)</w:t>
        </w:r>
      </w:hyperlink>
    </w:p>
    <w:p w14:paraId="564E2E21" w14:textId="77777777" w:rsidR="006D3730" w:rsidRPr="006D3730" w:rsidRDefault="006D3730" w:rsidP="006D3730">
      <w:pPr>
        <w:autoSpaceDE w:val="0"/>
        <w:autoSpaceDN w:val="0"/>
        <w:adjustRightInd w:val="0"/>
        <w:spacing w:after="0" w:line="240" w:lineRule="auto"/>
        <w:rPr>
          <w:rFonts w:asciiTheme="minorHAnsi" w:eastAsia="Calibri" w:hAnsiTheme="minorHAnsi" w:cstheme="minorHAnsi"/>
          <w:b/>
          <w:bCs/>
          <w:sz w:val="24"/>
          <w:szCs w:val="24"/>
          <w:lang w:val="en-US" w:eastAsia="de-AT"/>
        </w:rPr>
      </w:pPr>
      <w:r w:rsidRPr="006D3730">
        <w:rPr>
          <w:rStyle w:val="Hyperlink"/>
          <w:rFonts w:asciiTheme="minorHAnsi" w:hAnsiTheme="minorHAnsi" w:cstheme="minorHAnsi"/>
          <w:b/>
          <w:bCs/>
          <w:color w:val="000000" w:themeColor="text1"/>
          <w:sz w:val="24"/>
          <w:szCs w:val="24"/>
          <w:u w:val="none"/>
        </w:rPr>
        <w:t xml:space="preserve">Further reading: </w:t>
      </w:r>
      <w:r w:rsidRPr="006D3730">
        <w:rPr>
          <w:rFonts w:asciiTheme="minorHAnsi" w:eastAsia="Calibri" w:hAnsiTheme="minorHAnsi" w:cstheme="minorHAnsi"/>
          <w:b/>
          <w:bCs/>
          <w:sz w:val="24"/>
          <w:szCs w:val="24"/>
          <w:lang w:val="en-US" w:eastAsia="de-AT"/>
        </w:rPr>
        <w:t>Marc De Vos, The European Court of Justice and the march towards substantive equality in European Union antidiscrimination law</w:t>
      </w:r>
      <w:r w:rsidRPr="006D3730">
        <w:rPr>
          <w:rFonts w:asciiTheme="minorHAnsi" w:eastAsia="Calibri" w:hAnsiTheme="minorHAnsi" w:cstheme="minorHAnsi"/>
          <w:b/>
          <w:bCs/>
          <w:sz w:val="24"/>
          <w:szCs w:val="24"/>
          <w:lang w:val="en-US" w:eastAsia="de-AT"/>
        </w:rPr>
        <w:t xml:space="preserve">, </w:t>
      </w:r>
      <w:r w:rsidRPr="006D3730">
        <w:rPr>
          <w:rFonts w:asciiTheme="minorHAnsi" w:eastAsia="Calibri" w:hAnsiTheme="minorHAnsi" w:cstheme="minorHAnsi"/>
          <w:b/>
          <w:bCs/>
          <w:sz w:val="24"/>
          <w:szCs w:val="24"/>
          <w:lang w:val="en-US" w:eastAsia="de-AT"/>
        </w:rPr>
        <w:t>International Journal of</w:t>
      </w:r>
    </w:p>
    <w:p w14:paraId="4E2FD870" w14:textId="1CEBBF63" w:rsidR="006D3730" w:rsidRPr="006D3730" w:rsidRDefault="006D3730" w:rsidP="006D3730">
      <w:pPr>
        <w:autoSpaceDE w:val="0"/>
        <w:autoSpaceDN w:val="0"/>
        <w:adjustRightInd w:val="0"/>
        <w:spacing w:after="0" w:line="240" w:lineRule="auto"/>
        <w:rPr>
          <w:rFonts w:asciiTheme="minorHAnsi" w:eastAsia="Calibri" w:hAnsiTheme="minorHAnsi" w:cstheme="minorHAnsi"/>
          <w:b/>
          <w:bCs/>
          <w:sz w:val="24"/>
          <w:szCs w:val="24"/>
          <w:lang w:val="en-US" w:eastAsia="de-AT"/>
        </w:rPr>
      </w:pPr>
      <w:r w:rsidRPr="006D3730">
        <w:rPr>
          <w:rFonts w:asciiTheme="minorHAnsi" w:eastAsia="Calibri" w:hAnsiTheme="minorHAnsi" w:cstheme="minorHAnsi"/>
          <w:b/>
          <w:bCs/>
          <w:sz w:val="24"/>
          <w:szCs w:val="24"/>
          <w:lang w:val="en-US" w:eastAsia="de-AT"/>
        </w:rPr>
        <w:t>Discrimination and the Law</w:t>
      </w:r>
      <w:r w:rsidRPr="006D3730">
        <w:rPr>
          <w:rFonts w:asciiTheme="minorHAnsi" w:eastAsia="Calibri" w:hAnsiTheme="minorHAnsi" w:cstheme="minorHAnsi"/>
          <w:b/>
          <w:bCs/>
          <w:sz w:val="24"/>
          <w:szCs w:val="24"/>
          <w:lang w:val="en-US" w:eastAsia="de-AT"/>
        </w:rPr>
        <w:t xml:space="preserve"> </w:t>
      </w:r>
      <w:r w:rsidRPr="006D3730">
        <w:rPr>
          <w:rFonts w:asciiTheme="minorHAnsi" w:eastAsia="Calibri" w:hAnsiTheme="minorHAnsi" w:cstheme="minorHAnsi"/>
          <w:b/>
          <w:bCs/>
          <w:sz w:val="24"/>
          <w:szCs w:val="24"/>
          <w:lang w:val="en-US" w:eastAsia="de-AT"/>
        </w:rPr>
        <w:t>2020, Vol. 20(1) 62–87</w:t>
      </w:r>
    </w:p>
    <w:p w14:paraId="3518BFAE" w14:textId="1C8F2B50" w:rsidR="006D3730" w:rsidRPr="006D3730" w:rsidRDefault="006D3730" w:rsidP="006D3730">
      <w:pPr>
        <w:autoSpaceDE w:val="0"/>
        <w:autoSpaceDN w:val="0"/>
        <w:adjustRightInd w:val="0"/>
        <w:spacing w:after="0" w:line="240" w:lineRule="auto"/>
        <w:rPr>
          <w:rFonts w:asciiTheme="minorHAnsi" w:eastAsia="Calibri" w:hAnsiTheme="minorHAnsi" w:cstheme="minorHAnsi"/>
          <w:b/>
          <w:bCs/>
          <w:sz w:val="24"/>
          <w:szCs w:val="24"/>
          <w:lang w:val="en-US" w:eastAsia="de-AT"/>
        </w:rPr>
      </w:pPr>
    </w:p>
    <w:p w14:paraId="7C2D7C58" w14:textId="77777777" w:rsidR="001D448E" w:rsidRPr="006D3730" w:rsidRDefault="001D448E">
      <w:pPr>
        <w:rPr>
          <w:sz w:val="24"/>
          <w:szCs w:val="24"/>
          <w:lang w:val="en-US"/>
        </w:rPr>
      </w:pPr>
    </w:p>
    <w:sectPr w:rsidR="001D448E" w:rsidRPr="006D37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051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4DCC1" w14:textId="77777777" w:rsidR="00F72A5D" w:rsidRDefault="00F72A5D">
      <w:pPr>
        <w:spacing w:after="0" w:line="240" w:lineRule="auto"/>
      </w:pPr>
      <w:r>
        <w:separator/>
      </w:r>
    </w:p>
  </w:endnote>
  <w:endnote w:type="continuationSeparator" w:id="0">
    <w:p w14:paraId="635CAD4C" w14:textId="77777777" w:rsidR="00F72A5D" w:rsidRDefault="00F7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683AF" w14:textId="77777777" w:rsidR="00FD60BB" w:rsidRDefault="00FD6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D13B" w14:textId="77777777" w:rsidR="00FD60BB" w:rsidRDefault="00FD6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bookmarkStart w:id="0" w:name="_heading=h.gjdgxs" w:colFirst="0" w:colLast="0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0B73" w14:textId="77777777" w:rsidR="00FD60BB" w:rsidRDefault="00FD6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A85B8" w14:textId="77777777" w:rsidR="00F72A5D" w:rsidRDefault="00F72A5D">
      <w:pPr>
        <w:spacing w:after="0" w:line="240" w:lineRule="auto"/>
      </w:pPr>
      <w:r>
        <w:separator/>
      </w:r>
    </w:p>
  </w:footnote>
  <w:footnote w:type="continuationSeparator" w:id="0">
    <w:p w14:paraId="61702867" w14:textId="77777777" w:rsidR="00F72A5D" w:rsidRDefault="00F72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72542" w14:textId="77777777" w:rsidR="00FD60BB" w:rsidRDefault="00FD6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9847A" w14:textId="77777777" w:rsidR="00FD60BB" w:rsidRDefault="00FD6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hanging="567"/>
      <w:rPr>
        <w:color w:val="000000"/>
      </w:rPr>
    </w:pPr>
  </w:p>
  <w:p w14:paraId="52AC1D47" w14:textId="77777777" w:rsidR="00FD60BB" w:rsidRDefault="00FD6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hanging="567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2D0EC" w14:textId="77777777" w:rsidR="00FD60BB" w:rsidRDefault="00FD6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B4224"/>
    <w:multiLevelType w:val="hybridMultilevel"/>
    <w:tmpl w:val="2B68841C"/>
    <w:lvl w:ilvl="0" w:tplc="C5527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E878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6CA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CC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E64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2A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769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08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080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80841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BB"/>
    <w:rsid w:val="0001423C"/>
    <w:rsid w:val="001D448E"/>
    <w:rsid w:val="002202AE"/>
    <w:rsid w:val="0026489F"/>
    <w:rsid w:val="002C351E"/>
    <w:rsid w:val="002F7437"/>
    <w:rsid w:val="004B213F"/>
    <w:rsid w:val="00677639"/>
    <w:rsid w:val="006C2836"/>
    <w:rsid w:val="006D3730"/>
    <w:rsid w:val="006F28E5"/>
    <w:rsid w:val="00747ED5"/>
    <w:rsid w:val="007621C4"/>
    <w:rsid w:val="007700A0"/>
    <w:rsid w:val="007758E9"/>
    <w:rsid w:val="00796AD9"/>
    <w:rsid w:val="00932356"/>
    <w:rsid w:val="009A4F71"/>
    <w:rsid w:val="00A0554C"/>
    <w:rsid w:val="00A23A87"/>
    <w:rsid w:val="00AB1887"/>
    <w:rsid w:val="00AF00D9"/>
    <w:rsid w:val="00B50A43"/>
    <w:rsid w:val="00BE7379"/>
    <w:rsid w:val="00C5646F"/>
    <w:rsid w:val="00CB3DA8"/>
    <w:rsid w:val="00DB42E8"/>
    <w:rsid w:val="00DB5291"/>
    <w:rsid w:val="00E160E2"/>
    <w:rsid w:val="00EA5193"/>
    <w:rsid w:val="00F72A5D"/>
    <w:rsid w:val="00FD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F6B5"/>
  <w15:docId w15:val="{C47EFD21-4CFF-4BB8-8E93-53BFD902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72F6"/>
    <w:rPr>
      <w:rFonts w:eastAsiaTheme="minorEastAsia"/>
      <w:lang w:eastAsia="pl-PL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65FA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65FAD"/>
  </w:style>
  <w:style w:type="paragraph" w:styleId="Fuzeile">
    <w:name w:val="footer"/>
    <w:basedOn w:val="Standard"/>
    <w:link w:val="FuzeileZchn"/>
    <w:uiPriority w:val="99"/>
    <w:unhideWhenUsed/>
    <w:rsid w:val="00E65FA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65FAD"/>
  </w:style>
  <w:style w:type="table" w:styleId="Tabellenraster">
    <w:name w:val="Table Grid"/>
    <w:basedOn w:val="NormaleTabelle"/>
    <w:uiPriority w:val="39"/>
    <w:rsid w:val="003172F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880362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831BC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31BC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31BCD"/>
    <w:rPr>
      <w:vertAlign w:val="superscript"/>
    </w:rPr>
  </w:style>
  <w:style w:type="character" w:customStyle="1" w:styleId="il">
    <w:name w:val="il"/>
    <w:basedOn w:val="Absatz-Standardschriftart"/>
    <w:rsid w:val="00831BCD"/>
  </w:style>
  <w:style w:type="paragraph" w:styleId="StandardWeb">
    <w:name w:val="Normal (Web)"/>
    <w:basedOn w:val="Standard"/>
    <w:uiPriority w:val="99"/>
    <w:unhideWhenUsed/>
    <w:rsid w:val="002D2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eastAsiaTheme="minorEastAsia"/>
      <w:sz w:val="20"/>
      <w:szCs w:val="20"/>
      <w:lang w:eastAsia="pl-PL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table" w:customStyle="1" w:styleId="3">
    <w:name w:val="3"/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93235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2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03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50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parl.europa.eu/factsheets/en/sheet/59/equality-between-men-and-wome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ultimedia.europarl.europa.eu/en/video/ep-committee-on-womens-rights-and-gender-equality-enhancing-gender-equality-through-common-european-action-on-care_I21270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J2238fMQ1Fi4i5a/ZJqAmFMqaA==">AMUW2mVBAfHCCukG0cPXx9srX7WW7oTLR1LgwmFfpV0xvSS6bDVdBpj+sqBLCHkcLsWQ6wRZw7vkcwI4mCu3qFFhhRVWH+AG6pV3dnOqqNJf5V0sSUia3BIypaDqnCpE8VIgVfH1XFaX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PLUS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Margiel</dc:creator>
  <cp:keywords/>
  <dc:description/>
  <cp:lastModifiedBy>Ulrike Brandl</cp:lastModifiedBy>
  <cp:revision>2</cp:revision>
  <dcterms:created xsi:type="dcterms:W3CDTF">2024-03-15T12:23:00Z</dcterms:created>
  <dcterms:modified xsi:type="dcterms:W3CDTF">2024-03-15T12:23:00Z</dcterms:modified>
</cp:coreProperties>
</file>